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6475088911f813df1d8af1a4751cef0a5b6857"/>
    <w:p>
      <w:pPr>
        <w:pStyle w:val="Heading3"/>
      </w:pPr>
      <w:r>
        <w:t xml:space="preserve">Как получить имущественный налоговый вычет в связи с расходами на новое строительство либо приобретение недвижимого имущества</w:t>
      </w:r>
    </w:p>
    <w:p>
      <w:pPr>
        <w:pStyle w:val="FirstParagraph"/>
      </w:pPr>
      <w:r>
        <w:t xml:space="preserve">09.04.2025</w:t>
      </w:r>
    </w:p>
    <w:bookmarkEnd w:id="20"/>
    <w:bookmarkStart w:id="24" w:name="X06e461db322dace2aca8431510133d6b1ba9241"/>
    <w:p>
      <w:pPr>
        <w:pStyle w:val="Heading1"/>
      </w:pPr>
      <w:hyperlink r:id="rId21">
        <w:r>
          <w:rPr>
            <w:rStyle w:val="Hyperlink"/>
          </w:rPr>
          <w:t xml:space="preserve">Как получить социальный налоговый вычет в связи с расходами на медицинские услуги, лекарственные препараты и (или) уплатой страховых взносов по договорам добровольного страхования жизни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http://obruchev.mos.ru/presscenter/statji/detail/12904801.html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2904801.html" TargetMode="External" /><Relationship Type="http://schemas.openxmlformats.org/officeDocument/2006/relationships/hyperlink" Id="rId21" Target="https://kotlovka.mos.ru/_%D0%9A%D0%B0%D0%BA%20%D0%BF%D0%BE%D0%BB%D1%83%D1%87%D0%B8%D1%82%D1%8C%20%D0%B2%D1%8B%D1%87%D0%B5%D1%82%20%D0%BD%D0%B0%20%D0%BC%D0%B5%D0%B4%D1%83%D1%81%D0%BB%D1%83%D0%B3%D0%B8%2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2904801.html" TargetMode="External" /><Relationship Type="http://schemas.openxmlformats.org/officeDocument/2006/relationships/hyperlink" Id="rId21" Target="https://kotlovka.mos.ru/_%D0%9A%D0%B0%D0%BA%20%D0%BF%D0%BE%D0%BB%D1%83%D1%87%D0%B8%D1%82%D1%8C%20%D0%B2%D1%8B%D1%87%D0%B5%D1%82%20%D0%BD%D0%B0%20%D0%BC%D0%B5%D0%B4%D1%83%D1%81%D0%BB%D1%83%D0%B3%D0%B8%2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2025-05-17T06:57:51Z</dcterms:created>
  <dcterms:modified xsi:type="dcterms:W3CDTF">2025-05-17T06:57:51Z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