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aaa41deac1bc2aaae649538ff8641260d44c69"/>
    <w:p>
      <w:pPr>
        <w:pStyle w:val="Heading3"/>
      </w:pPr>
      <w:r>
        <w:t xml:space="preserve">Как получить социальный налоговый вычет в связи с расходами на обучение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76746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н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4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03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н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3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http://obruchev.mos.ru/presscenter/statji/detail/12904711.html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2904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2904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2025-06-15T07:38:06Z</dcterms:created>
  <dcterms:modified xsi:type="dcterms:W3CDTF">2025-06-15T07:38:06Z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