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7fc8c62dbe493eacc8c993a50d4c88b1780513"/>
    <w:p>
      <w:pPr>
        <w:pStyle w:val="Heading3"/>
      </w:pPr>
      <w:r>
        <w:t xml:space="preserve">Спецназ Росгвардии оказал содействие при задержании подозреваемых в мошенничестве в Москве</w:t>
      </w:r>
    </w:p>
    <w:p>
      <w:pPr>
        <w:pStyle w:val="FirstParagraph"/>
      </w:pPr>
      <w:r>
        <w:t xml:space="preserve">04.04.2025</w:t>
      </w:r>
    </w:p>
    <w:p>
      <w:pPr>
        <w:pStyle w:val="BodyText"/>
      </w:pPr>
      <w:r>
        <w:t xml:space="preserve">При силовой поддержке ОМОН «Авангард» Главного управления Росгвардии по городу Москве задержаны лица, подозреваемые в совершении мошеннических действий в особо крупном размере, связанных с реализацией федеральной программы «Пушкинская карта».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ОМОН%20Пушкинская%202025_04_0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Установлено, что злоумышленники, действуя по предварительному сговору, разработали преступную схему, направленную на хищение бюджетных средств. Они подали заявку на участие в программе и заключили фиктивный договор на оказание услуг в сфере культуры. Затем, используя различные способы обмана, в том числе приобретение билетов на мероприятия без цели их посещения и оформление карт на подставных лиц, похищали денежные средства, предназначенные для молодежи.</w:t>
      </w:r>
    </w:p>
    <w:p>
      <w:pPr>
        <w:pStyle w:val="BodyText"/>
      </w:pPr>
      <w:r>
        <w:t xml:space="preserve">По предварительным данным, в результате противоправных действий было приобретено более 300 билетов на сумму свыше 1 миллиона рублей, которые фактически не были использованы по назначению.</w:t>
      </w:r>
    </w:p>
    <w:p>
      <w:pPr>
        <w:pStyle w:val="BodyText"/>
      </w:pPr>
      <w:r>
        <w:t xml:space="preserve">Возбуждено уголовное дело.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http://obruchev.mos.ru/presscenter/statji/detail/12896848.html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statji/detail/128968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statji/detail/128968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2025-07-22T09:30:45Z</dcterms:created>
  <dcterms:modified xsi:type="dcterms:W3CDTF">2025-07-22T09:30:45Z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