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1caec2569e2c015766a1aeca18f44f8f07de911"/>
    <w:p>
      <w:pPr>
        <w:pStyle w:val="Heading3"/>
      </w:pPr>
      <w:r>
        <w:t xml:space="preserve">Государство расширило меры налоговой поддержки участников СВО</w:t>
      </w:r>
    </w:p>
    <w:p>
      <w:pPr>
        <w:pStyle w:val="FirstParagraph"/>
      </w:pPr>
      <w:r>
        <w:t xml:space="preserve">02.11.2024</w:t>
      </w:r>
    </w:p>
    <w:p>
      <w:pPr>
        <w:pStyle w:val="BodyText"/>
      </w:pPr>
      <w:r>
        <w:drawing>
          <wp:inline>
            <wp:extent cx="5334000" cy="515006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bruchev.mos.ru/www/налог%20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1500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http://obruchev.mos.ru/presscenter/statji/detail/12642001.html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Обручевского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hyperlink" Id="rId24" Target="http://obruchev.mos.ru" TargetMode="External" /><Relationship Type="http://schemas.openxmlformats.org/officeDocument/2006/relationships/hyperlink" Id="rId23" Target="http://obruchev.mos.ru/presscenter/statji/detail/1264200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obruchev.mos.ru" TargetMode="External" /><Relationship Type="http://schemas.openxmlformats.org/officeDocument/2006/relationships/hyperlink" Id="rId23" Target="http://obruchev.mos.ru/presscenter/statji/detail/1264200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2025-01-29T21:34:41Z</dcterms:created>
  <dcterms:modified xsi:type="dcterms:W3CDTF">2025-01-29T21:34:41Z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