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57b1c3e43f9ff3502cea5220ab72781668d2e3"/>
    <w:p>
      <w:pPr>
        <w:pStyle w:val="Heading3"/>
      </w:pPr>
      <w:r>
        <w:t xml:space="preserve">С начала года около 370 москвичей получили уточненные границы своих дачных объектов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t xml:space="preserve">По итогам проведения комплексных кадастровых работ подготовлены две карты-плана садовых некоммерческих товариществ. Почти 370 земельных участков и объектов капитального строительства внесли в Единый государственный реестр недвижимости (ЕГРН). Это позволит горожанам свободно распоряжаться имуществом и защищать свои законные интересы в случае возникновения земельных споров.</w:t>
      </w:r>
    </w:p>
    <w:p>
      <w:pPr>
        <w:pStyle w:val="BodyText"/>
      </w:pPr>
      <w:r>
        <w:t xml:space="preserve">Комплексные кадастровые работы проводятся в рамках</w:t>
      </w:r>
      <w:r>
        <w:t xml:space="preserve"> </w:t>
      </w:r>
      <w:hyperlink r:id="rId20">
        <w:r>
          <w:rPr>
            <w:rStyle w:val="Hyperlink"/>
          </w:rPr>
          <w:t xml:space="preserve">государственной программы «Национальная система пространственных данных»</w:t>
        </w:r>
      </w:hyperlink>
      <w:r>
        <w:t xml:space="preserve">. Она направлена на определение границ объектов недвижимости для защиты прав владельцев земельных участков, построек и зданий. В столице уточненные сведения в ЕГРН вносятся Управлением Росреестра по Москве.</w:t>
      </w:r>
    </w:p>
    <w:p>
      <w:pPr>
        <w:pStyle w:val="BodyText"/>
      </w:pPr>
      <w:r>
        <w:rPr>
          <w:iCs/>
          <w:i/>
        </w:rPr>
        <w:t xml:space="preserve">«Полностью завершены работы по внесению в ЕГРН сведений о 202 земельных участках и 167 объектах капитального строительства на территории двух кадастровых кварталов столицы. Специалистами московского управления в рабочем порядке были отработаны все технические замечания. Сведения почти о 370 объектах недвижимости за внебюджетные средства внесены в реестр недвижимости без приостановок»,</w:t>
      </w:r>
      <w:r>
        <w:t xml:space="preserve"> </w:t>
      </w:r>
      <w:r>
        <w:t xml:space="preserve">— рассказал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</w:t>
      </w:r>
      <w:r>
        <w:t xml:space="preserve">.</w:t>
      </w:r>
    </w:p>
    <w:p>
      <w:pPr>
        <w:pStyle w:val="BodyText"/>
      </w:pPr>
      <w:r>
        <w:t xml:space="preserve">Сейчас комплексные кадастровые работы завершены в садовом некоммерческом товариществе «Садовник» и товариществе собственников недвижимости «Сахарово». Согласительные комиссии одобрили местоположение границ земельных участков, которые были зафиксированы в проектах карт-планов.</w:t>
      </w:r>
    </w:p>
    <w:p>
      <w:pPr>
        <w:pStyle w:val="BodyText"/>
      </w:pPr>
      <w:r>
        <w:drawing>
          <wp:inline>
            <wp:extent cx="5334000" cy="120301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bruchev.mos.ru/www/карты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30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«Определение границ особенно актуально для дачных кооперативов, в которых иногда права владельцев недвижимости нарушаются соседями. Комплексные кадастровые работы позволяют сверить границы участков и объектов капитального строительства и внести уточненные данные в ЕГРН. С начала года в столице завершены работы уже в двух садовых некоммерческих товариществах, в настоящее время специалисты готовят карту-план еще одного. Таким образом, владельцы более 500 объектов недвижимости верифицируют свои права. Наличие точных сведений об участках и объектах капитального строительства в реестре позволит горожанам свободно распоряжаться имуществом и быть уверенными в защите своих законных интересов в случае возникновения земельных споров»,</w:t>
      </w:r>
      <w:r>
        <w:t xml:space="preserve"> </w:t>
      </w:r>
      <w:r>
        <w:t xml:space="preserve">— отметил</w:t>
      </w:r>
      <w:r>
        <w:t xml:space="preserve"> </w:t>
      </w:r>
      <w:r>
        <w:rPr>
          <w:bCs/>
          <w:b/>
        </w:rPr>
        <w:t xml:space="preserve">Максим Гаман, Министр Правительства Москвы, руководитель столичного Департамента городского имущества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http://obruchev.mos.ru/presscenter/statji/detail/12541713.html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0" Target="http://government.ru/docs/all/137941/" TargetMode="External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statji/detail/12541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vernment.ru/docs/all/137941/" TargetMode="External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statji/detail/12541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2024-10-24T03:13:53Z</dcterms:created>
  <dcterms:modified xsi:type="dcterms:W3CDTF">2024-10-24T03:13:53Z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