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6577140aba41dec01a8dd86ca083c244633c5e"/>
    <w:p>
      <w:pPr>
        <w:pStyle w:val="Heading3"/>
      </w:pPr>
      <w:r>
        <w:t xml:space="preserve">Прекращается прием уведомлений на основании распоряжений на перевод денежных средств в уплату платежей в бюджетную систему РФ со статусом 02</w:t>
      </w:r>
    </w:p>
    <w:p>
      <w:pPr>
        <w:pStyle w:val="FirstParagraph"/>
      </w:pPr>
      <w:r>
        <w:t xml:space="preserve">11.12.2023</w:t>
      </w:r>
    </w:p>
    <w:p>
      <w:pPr>
        <w:pStyle w:val="BodyText"/>
      </w:pPr>
      <w:r>
        <w:drawing>
          <wp:inline>
            <wp:extent cx="5334000" cy="504712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c21/t41x60rgyk8cgli1xm95ngdpnmjjiaxe/2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471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http://obruchev.mos.ru/presscenter/statji/detail/12037106.html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statji/detail/120371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statji/detail/120371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2024-07-31T04:37:10Z</dcterms:created>
  <dcterms:modified xsi:type="dcterms:W3CDTF">2024-07-31T04:37:10Z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