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706699b3302ff8b274be585e2ea77c05d53a2"/>
    <w:p>
      <w:pPr>
        <w:pStyle w:val="Heading3"/>
      </w:pPr>
      <w:r>
        <w:t xml:space="preserve">Распоряжение Департамента торговли и услуг города Москвы«Об утверждении Порядка проведения конкурса на лучшее праздничное и тематическое оформление объектов торговли и услуг в городе Москве в связи с празднованием Дня города Москвы.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Департамента торговли и услуг города Москвы от 14.07.2023 № 144 «Об утверждении Порядка проведения конкурса на лучшее праздничное и тематическое оформление объектов торговли и услуг в городе Москве в связи с празднованием Дня города Москвы в 2023 году»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http://obruchev.mos.ru/presscenter/statji/detail/11742129.html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595/79evnwiceccsdzv2w4o13ckngzmig25i/144-_1_.pdf" TargetMode="Externa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742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595/79evnwiceccsdzv2w4o13ckngzmig25i/144-_1_.pdf" TargetMode="Externa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742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2025-04-10T01:58:13Z</dcterms:created>
  <dcterms:modified xsi:type="dcterms:W3CDTF">2025-04-10T01:58:13Z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