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мониторинг-бртс-на-территории-района."/>
    <w:p>
      <w:pPr>
        <w:pStyle w:val="Heading3"/>
      </w:pPr>
      <w:r>
        <w:t xml:space="preserve">Мониторинг БРТС на территории района.</w:t>
      </w:r>
    </w:p>
    <w:p>
      <w:pPr>
        <w:pStyle w:val="FirstParagraph"/>
      </w:pPr>
      <w:r>
        <w:t xml:space="preserve">26.05.2023</w:t>
      </w:r>
    </w:p>
    <w:p>
      <w:pPr>
        <w:pStyle w:val="BodyText"/>
      </w:pPr>
      <w:r>
        <w:t xml:space="preserve">Разыскиваются собственники транспортных средств, признанных комиссионным обследованием управы Обручевского района - БРТС.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bf0/nx4k9dtu0m8o68c9za6asxfmw705rb4b/mmm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962/rl13hmsfgw78vekpqrbdeoqvz12wcnbg/mmmmm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de6/s3gv6987w9ro2phzx9icfza6pzy4khhf/mmmmmm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dd7/v5s5vdjpvm7s0x21pwtrqyhplw4up9op/mmmmmmm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http://obruchev.mos.ru/presscenter/statji/detail/11611656.html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statji/detail/11611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statji/detail/11611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2025-04-10T01:57:06Z</dcterms:created>
  <dcterms:modified xsi:type="dcterms:W3CDTF">2025-04-10T01:57:06Z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