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ca1fa8992c265b1c670101a470500eba6dc64e"/>
    <w:p>
      <w:pPr>
        <w:pStyle w:val="Heading3"/>
      </w:pPr>
      <w:r>
        <w:t xml:space="preserve">О выявлении в обороте небезопасной продукции.</w:t>
      </w:r>
    </w:p>
    <w:p>
      <w:pPr>
        <w:pStyle w:val="FirstParagraph"/>
      </w:pPr>
      <w:r>
        <w:t xml:space="preserve">26.05.2023</w:t>
      </w:r>
    </w:p>
    <w:p>
      <w:pPr>
        <w:pStyle w:val="BodyText"/>
      </w:pPr>
      <w:r>
        <w:drawing>
          <wp:inline>
            <wp:extent cx="5334000" cy="46492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269/tmr1kl0l43v9swwq3w0vv3gf12hb9gs9/d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492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58273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dab/mbvh9hf7a580hjkinpaxtxjqs3v95cw8/d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82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http://obruchev.mos.ru/presscenter/statji/detail/11611550.html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statji/detail/116115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statji/detail/116115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2025-04-10T02:45:37Z</dcterms:created>
  <dcterms:modified xsi:type="dcterms:W3CDTF">2025-04-10T02:45:37Z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