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0.png" ContentType="image/png"/>
  <Override PartName="/word/media/rId26.png" ContentType="image/png"/>
  <Override PartName="/word/media/rId2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0b9dee6a5a56ce7abd9b33c7a4d9500a48bc07"/>
    <w:p>
      <w:pPr>
        <w:pStyle w:val="Heading3"/>
      </w:pPr>
      <w:r>
        <w:t xml:space="preserve">Перечень деклараций о соответствии пищевой продукции, вырабатываемой ОО ТД "Чертаново" , признанных Управлением Роспотребнадзора по г. Москве недействительными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drawing>
          <wp:inline>
            <wp:extent cx="5334000" cy="45967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90/bjo06dwmodgfr8aek98t61ni18ev1a4a/1.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96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6662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a0/wltqll9ejjit63t41v2eualtbcmj6630/1.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66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274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c1/zj2jff9miydsolzzb04h1kqk9cp8rurx/1.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7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2007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d3/qvr5ov22la4v9wwdy2hcpyrhoymkcr0f/1.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8210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14/0nwqqwmmy25n9kexohiqgprjovykirrm/1.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8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http://obruchev.mos.ru/presscenter/statji/detail/11592803.html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statji/detail/11592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statji/detail/11592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2025-04-10T02:45:23Z</dcterms:created>
  <dcterms:modified xsi:type="dcterms:W3CDTF">2025-04-10T02:45:23Z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