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a5c6d23ab8a6f55a15d81b28330d4d2d6f941"/>
    <w:p>
      <w:pPr>
        <w:pStyle w:val="Heading3"/>
      </w:pPr>
      <w:r>
        <w:t xml:space="preserve">Управление Роспотребнадзора по городу Москве сообщает.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 </w:t>
      </w:r>
      <w:hyperlink r:id="rId20">
        <w:r>
          <w:rPr>
            <w:rStyle w:val="Hyperlink"/>
            <w:bCs/>
            <w:b/>
          </w:rPr>
          <w:t xml:space="preserve">Управление Федеральной службы по надзору в сфере защиты прав потребителей и благополучия человека по городу Москве информирует о признании недействительными деклараций о соответствии пищевой продукции, вырабатываемой ИП Нерсесов М.А.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http://obruchev.mos.ru/presscenter/statji/detail/11513748.html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f2/io9wfsrsv3aass0nucht5eo0v78ihd2y/IP-Nersesov-M.A.-_1_-_1_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513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f2/io9wfsrsv3aass0nucht5eo0v78ihd2y/IP-Nersesov-M.A.-_1_-_1_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513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2025-04-10T02:45:11Z</dcterms:created>
  <dcterms:modified xsi:type="dcterms:W3CDTF">2025-04-10T02:45:11Z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