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нос-некапитальных-объектов-в-районе"/>
    <w:p>
      <w:pPr>
        <w:pStyle w:val="Heading3"/>
      </w:pPr>
      <w:r>
        <w:t xml:space="preserve">Снос некапитальных объектов в районе</w:t>
      </w:r>
    </w:p>
    <w:p>
      <w:pPr>
        <w:pStyle w:val="FirstParagraph"/>
      </w:pPr>
      <w:r>
        <w:t xml:space="preserve">23.03.2023</w:t>
      </w:r>
    </w:p>
    <w:p>
      <w:pPr>
        <w:pStyle w:val="BodyText"/>
      </w:pPr>
      <w:r>
        <w:t xml:space="preserve">- В соответствии с решением Окружной комиссии по пресечению самовольного строительства на территории ЮЗАО от 23.03.2023 № 6, некапитальный объект по адресу: ул. Островитянова, вл.5, к.3 (входная группа) подлежит демонтажу и (или) перемещению в порядке, определенным постановлением Правительства Москвы от 02.11.2012 №614-ПП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соответствии с решением Окружной комиссии по пресечению самовольного строительства на территории ЮЗАО от 23.03.2023 № 6, некапитальные объекты по адресу: ул. Наметкина, вл. 3 (шлагбаумы, бетонные ограничительные конструкции), расположенные вне границ земельного участка с кадастровым номером 77:06:0003012:2 подлежат демонтажу и (или) перемещению в порядке, определенным постановлением Правительства Москвы от 02.11.2012 №614-ПП.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http://obruchev.mos.ru/presscenter/statji/detail/11484386.html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484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484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2024-08-12T14:12:50Z</dcterms:created>
  <dcterms:modified xsi:type="dcterms:W3CDTF">2024-08-12T14:12:50Z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