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ниторинг-бртс-на-территории-района."/>
    <w:p>
      <w:pPr>
        <w:pStyle w:val="Heading3"/>
      </w:pPr>
      <w:r>
        <w:t xml:space="preserve">Мониторинг БРТС на территории района.</w:t>
      </w:r>
    </w:p>
    <w:p>
      <w:pPr>
        <w:pStyle w:val="FirstParagraph"/>
      </w:pPr>
      <w:r>
        <w:t xml:space="preserve">19.08.2022</w:t>
      </w:r>
    </w:p>
    <w:p>
      <w:pPr>
        <w:pStyle w:val="BodyText"/>
      </w:pPr>
      <w:r>
        <w:t xml:space="preserve">Мониторингом БРТС на территории района с 08.08.2022 по 18.08.2022 представителями управы выявлено 9 БРТС. Из них: Приведено в порядок -6. Признано БРТС - 3. Согласно акту обследования транспортного средства, в виду отсутствия собственника 2 БРТС перемещено на специализированную стоянку.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092/byqalb8ra4cdto5ohs5sjs25ckewvial/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http://obruchev.mos.ru/presscenter/statji/detail/11003607.html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003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003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2025-04-10T02:39:40Z</dcterms:created>
  <dcterms:modified xsi:type="dcterms:W3CDTF">2025-04-10T02:39:40Z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