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c18278f977628cb63a51d39a52f9e3994a116"/>
    <w:p>
      <w:pPr>
        <w:pStyle w:val="Heading3"/>
      </w:pPr>
      <w:r>
        <w:t xml:space="preserve">Еженедельный мониторинг БРТС в Обручевском районе</w:t>
      </w:r>
    </w:p>
    <w:p>
      <w:pPr>
        <w:pStyle w:val="FirstParagraph"/>
      </w:pPr>
      <w:r>
        <w:t xml:space="preserve">01.03.2022</w:t>
      </w:r>
    </w:p>
    <w:p>
      <w:pPr>
        <w:pStyle w:val="BodyText"/>
      </w:pPr>
      <w:r>
        <w:t xml:space="preserve">Мониторингом БРТС на территории района с 21.02.2022 по 27.02.2022 представителями управы выявлено 8 БРТС. Из них: Приведено в порядок собственниками - 8 За указанный период транспортные средства, признанные БРТС на специализированную стоянку не перемещались.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http://obruchev.mos.ru/presscenter/statji/detail/10652261.html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652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652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2025-04-10T02:39:30Z</dcterms:created>
  <dcterms:modified xsi:type="dcterms:W3CDTF">2025-04-10T02:39:30Z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