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e749cf2a20069cca5671bf44c36c562c5e26b"/>
    <w:p>
      <w:pPr>
        <w:pStyle w:val="Heading3"/>
      </w:pPr>
      <w:r>
        <w:t xml:space="preserve">Центр «Обручевский» подвел итоги конкурса на лучшую елочную игрушку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32/shar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Стали известны итоги районного смотра-конкурса декоративно-прикладного творчества «Театр папы Карло» на лучшую елочную игрушку для районной рождественской елки.</w:t>
      </w:r>
    </w:p>
    <w:p>
      <w:pPr>
        <w:pStyle w:val="BodyText"/>
      </w:pPr>
      <w:r>
        <w:t xml:space="preserve">До 25 декабря конкурсные работы можно увидеть на выставке в Государственном бюджетном учреждении города Москвы «Центр досуга и спорта «Обручевский» по адресу: улица Новаторов, дом 6. Награждение победителей состоится 29 декабря в 15:00 на районном новогоднем празднике в сквере по адресу: улица Новаторов, дом 34, корп. 6. На празднике будет также представлена обширная концертная программа творческих коллективов Обручевского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http://obruchev.mos.ru/presscenter/news/detail/7054871.html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054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054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2025-01-23T19:51:40Z</dcterms:created>
  <dcterms:modified xsi:type="dcterms:W3CDTF">2025-01-23T19:51:40Z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