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717a048a29f9fa5ddda9839497fb6c6230976"/>
    <w:p>
      <w:pPr>
        <w:pStyle w:val="Heading3"/>
      </w:pPr>
      <w:r>
        <w:t xml:space="preserve">Торжественное мероприятие «День славянской письменности и культуры» пройдет в «Московском доме национальностей»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rPr>
          <w:bCs/>
          <w:b/>
        </w:rPr>
        <w:t xml:space="preserve">Мероприятие запланировано в рамках проекта «Славянское единство» 12 мая.</w:t>
      </w:r>
    </w:p>
    <w:p>
      <w:pPr>
        <w:pStyle w:val="BodyText"/>
      </w:pPr>
      <w:r>
        <w:drawing>
          <wp:inline>
            <wp:extent cx="3810000" cy="25412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9b0/document403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«День славянской письменности и культуры» - ежегодное мероприятие, направленное на укрепление единства славянского мира и развитие добрососедских отношений славянских держав. Особое внимание на круглом столе, в официальной части мероприятия будет уделено проблематике укрепления дружбы народов таких славянских стран и регионов, как Болгария, Сербия, Босния и Герцеговина и Македония.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«День славянской письменности и культуры» круглый стол «Славянства многоликий мир», выставка работ сербского художника-скульптора Милутина Ранковича, концерт южнославянской народной музыки, мастер-классы по прикладному искусству южных славян.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мероприятия: 15 часов 12 мая.</w:t>
      </w:r>
    </w:p>
    <w:p>
      <w:pPr>
        <w:pStyle w:val="BodyText"/>
      </w:pPr>
      <w:r>
        <w:t xml:space="preserve">Адрес проведения: улица Новая Басманная, дом 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http://obruchev.mos.ru/presscenter/news/detail/2830793.html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2830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2830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2025-06-06T00:25:21Z</dcterms:created>
  <dcterms:modified xsi:type="dcterms:W3CDTF">2025-06-06T00:25:21Z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