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21e9abe0d75ab641bcba5c813f0c7fdfce829"/>
    <w:p>
      <w:pPr>
        <w:pStyle w:val="Heading3"/>
      </w:pPr>
      <w:r>
        <w:t xml:space="preserve">С 13 по 17 мая 2024 года на территории Обручевского района города Москвы состоится оперативно-профилактическое мероприятие «Подросток»</w:t>
      </w:r>
    </w:p>
    <w:p>
      <w:pPr>
        <w:pStyle w:val="FirstParagraph"/>
      </w:pPr>
      <w:r>
        <w:t xml:space="preserve">13.05.2024</w:t>
      </w:r>
    </w:p>
    <w:p>
      <w:pPr>
        <w:pStyle w:val="BodyText"/>
      </w:pPr>
      <w:r>
        <w:t xml:space="preserve">С 13 по 17 мая 2024 года на территории Обручевского района города Москвы состоится оперативно-профилактическое мероприятие «Подросток» в целях повышения эффективности по предупреждению алкоголизации и наркомании в подростковой среде, а также выявления лиц, вовлекающих несовершеннолетних в употребление спиртных напитков, наркотических средств и психотропных веществ.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http://obruchev.mos.ru/presscenter/news/detail/12364023.html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2364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2364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2025-08-05T07:25:47Z</dcterms:created>
  <dcterms:modified xsi:type="dcterms:W3CDTF">2025-08-05T07:25:47Z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